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42139548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708487424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661104359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13830205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35851560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64064358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738404968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34432738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11634563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45589743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313519058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73874326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202578385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738413620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993142557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C57BED" w:rsidRPr="00F93828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Virginia Mason</w:t>
      </w:r>
    </w:p>
    <w:p w:rsidR="00C57BED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6B68A0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Cs/>
          <w:sz w:val="20"/>
        </w:rPr>
      </w:pPr>
    </w:p>
    <w:p w:rsidR="009452DF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IF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&lt;&gt; ""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begin"/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 MERGEFIELD P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arent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="00F93828">
        <w:rPr>
          <w:rFonts w:asciiTheme="minorHAnsi" w:hAnsiTheme="minorHAnsi" w:cstheme="minorHAnsi"/>
          <w:b/>
          <w:noProof/>
          <w:sz w:val="40"/>
          <w:szCs w:val="40"/>
        </w:rPr>
        <w:instrText>«ParentName»</w:instrText>
      </w:r>
      <w:r w:rsidRPr="0022424C">
        <w:rPr>
          <w:rFonts w:asciiTheme="minorHAnsi" w:hAnsiTheme="minorHAnsi" w:cstheme="minorHAnsi"/>
          <w:b/>
          <w:sz w:val="40"/>
          <w:szCs w:val="40"/>
        </w:rPr>
        <w:fldChar w:fldCharType="end"/>
      </w:r>
    </w:p>
    <w:p w:rsidR="00F93828" w:rsidRPr="0022424C" w:rsidP="00BF40DF">
      <w:pPr>
        <w:contextualSpacing/>
        <w:jc w:val="center"/>
        <w:outlineLvl w:val="0"/>
        <w:rPr>
          <w:rFonts w:asciiTheme="minorHAnsi" w:hAnsiTheme="minorHAnsi" w:cstheme="minorHAnsi"/>
          <w:b/>
          <w:noProof/>
          <w:sz w:val="40"/>
          <w:szCs w:val="40"/>
        </w:rPr>
      </w:pPr>
      <w:r w:rsidRPr="0022424C">
        <w:rPr>
          <w:rFonts w:asciiTheme="minorHAnsi" w:hAnsiTheme="minorHAnsi" w:cstheme="minorHAnsi"/>
          <w:b/>
          <w:sz w:val="32"/>
          <w:szCs w:val="32"/>
        </w:rPr>
        <w:fldChar w:fldCharType="begin"/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 MERGEFIELD </w:instrText>
      </w:r>
      <w:r w:rsidRPr="0022424C" w:rsidR="00D345AF">
        <w:rPr>
          <w:rFonts w:asciiTheme="minorHAnsi" w:hAnsiTheme="minorHAnsi" w:cstheme="minorHAnsi"/>
          <w:b/>
          <w:sz w:val="32"/>
          <w:szCs w:val="32"/>
        </w:rPr>
        <w:instrText>Event</w:instrText>
      </w:r>
      <w:r w:rsidRPr="0022424C">
        <w:rPr>
          <w:rFonts w:asciiTheme="minorHAnsi" w:hAnsiTheme="minorHAnsi" w:cstheme="minorHAnsi"/>
          <w:b/>
          <w:sz w:val="32"/>
          <w:szCs w:val="32"/>
        </w:rPr>
        <w:instrText xml:space="preserve">Name 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separate"/>
      </w:r>
      <w:r>
        <w:rPr>
          <w:rFonts w:asciiTheme="minorHAnsi" w:hAnsiTheme="minorHAnsi" w:cstheme="minorHAnsi"/>
          <w:b/>
          <w:noProof/>
          <w:sz w:val="32"/>
          <w:szCs w:val="32"/>
        </w:rPr>
        <w:instrText>«EventName»</w:instrText>
      </w:r>
      <w:r w:rsidRPr="0022424C">
        <w:rPr>
          <w:rFonts w:asciiTheme="minorHAnsi" w:hAnsiTheme="minorHAnsi" w:cstheme="minorHAnsi"/>
          <w:b/>
          <w:sz w:val="32"/>
          <w:szCs w:val="32"/>
        </w:rPr>
        <w:fldChar w:fldCharType="end"/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>" "</w:instrText>
      </w:r>
      <w:r w:rsidRPr="0022424C">
        <w:rPr>
          <w:rFonts w:asciiTheme="minorHAnsi" w:hAnsiTheme="minorHAnsi" w:cstheme="minorHAnsi"/>
          <w:b/>
          <w:sz w:val="40"/>
          <w:szCs w:val="40"/>
        </w:rPr>
        <w:instrText>Evolving Care Across the Cancer Spectrum: The Latest Update in Colorectal Cancer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instrText xml:space="preserve">" </w:instrText>
      </w:r>
      <w:r w:rsidRPr="0022424C" w:rsidR="00BF0B3E">
        <w:rPr>
          <w:rFonts w:asciiTheme="minorHAnsi" w:hAnsiTheme="minorHAnsi" w:cstheme="minorHAnsi"/>
          <w:b/>
          <w:sz w:val="40"/>
          <w:szCs w:val="40"/>
        </w:rPr>
        <w:fldChar w:fldCharType="separate"/>
      </w:r>
      <w:r w:rsidRPr="0022424C">
        <w:rPr>
          <w:rFonts w:asciiTheme="minorHAnsi" w:hAnsiTheme="minorHAnsi" w:cstheme="minorHAnsi"/>
          <w:b/>
          <w:sz w:val="40"/>
          <w:szCs w:val="40"/>
        </w:rPr>
        <w:t>Evolving Care Across the Cancer Spectrum: The Latest Update in Colorectal Cancer</w:t>
      </w:r>
      <w:r w:rsidRPr="0022424C" w:rsidR="00BF0B3E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fldChar w:fldCharType="begin"/>
      </w:r>
      <w:r>
        <w:rPr>
          <w:rFonts w:asciiTheme="minorHAnsi" w:hAnsiTheme="minorHAnsi" w:cstheme="minorHAnsi"/>
          <w:sz w:val="21"/>
          <w:szCs w:val="21"/>
        </w:rPr>
        <w:instrText xml:space="preserve"> IF 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>"</w:instrText>
      </w:r>
      <w:r>
        <w:rPr>
          <w:rFonts w:asciiTheme="minorHAnsi" w:hAnsiTheme="minorHAnsi" w:cstheme="minorHAnsi"/>
          <w:sz w:val="21"/>
          <w:szCs w:val="21"/>
        </w:rPr>
        <w:instrText xml:space="preserve"> &lt;&gt; "</w:instrText>
      </w:r>
    </w:p>
    <w:p w:rsidR="00914187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8"/>
          <w:szCs w:val="28"/>
        </w:rPr>
        <w:instrText>Live Activity</w:instrText>
      </w:r>
      <w:r>
        <w:rPr>
          <w:rFonts w:asciiTheme="minorHAnsi" w:hAnsiTheme="minorHAnsi" w:cstheme="minorHAnsi"/>
          <w:sz w:val="21"/>
          <w:szCs w:val="21"/>
        </w:rPr>
        <w:instrText xml:space="preserve">" "" </w:instrText>
      </w:r>
      <w:r>
        <w:rPr>
          <w:rFonts w:asciiTheme="minorHAnsi" w:hAnsiTheme="minorHAnsi" w:cstheme="minorHAnsi"/>
          <w:sz w:val="21"/>
          <w:szCs w:val="21"/>
        </w:rPr>
        <w:fldChar w:fldCharType="separate"/>
      </w:r>
      <w:r>
        <w:rPr>
          <w:rFonts w:asciiTheme="minorHAnsi" w:hAnsiTheme="minorHAnsi" w:cstheme="minorHAnsi"/>
          <w:sz w:val="21"/>
          <w:szCs w:val="21"/>
        </w:rPr>
        <w:fldChar w:fldCharType="end"/>
      </w:r>
    </w:p>
    <w:p w:rsidR="00914187" w:rsidRPr="0022424C" w:rsidP="00BF40DF">
      <w:pPr>
        <w:contextualSpacing/>
        <w:jc w:val="center"/>
        <w:outlineLvl w:val="0"/>
        <w:rPr>
          <w:rFonts w:asciiTheme="minorHAnsi" w:hAnsiTheme="minorHAnsi" w:cstheme="minorHAnsi"/>
          <w:sz w:val="21"/>
          <w:szCs w:val="21"/>
        </w:rPr>
      </w:pP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 w:rsidRPr="0022424C">
        <w:rPr>
          <w:rFonts w:asciiTheme="minorHAnsi" w:hAnsiTheme="minorHAnsi" w:cstheme="minorHAnsi"/>
          <w:sz w:val="28"/>
          <w:szCs w:val="28"/>
        </w:rPr>
        <w:t>March 21, 2025 7:30 AM</w: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IF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&lt;&gt; </w:instrText>
      </w:r>
      <w:r w:rsidR="0022424C">
        <w:rPr>
          <w:rFonts w:asciiTheme="minorHAnsi" w:hAnsiTheme="minorHAnsi" w:cstheme="minorHAnsi"/>
          <w:sz w:val="28"/>
          <w:szCs w:val="28"/>
        </w:rPr>
        <w:instrText>3/21/2025</w:instrText>
      </w:r>
      <w:r w:rsidR="0022424C">
        <w:rPr>
          <w:rFonts w:asciiTheme="minorHAnsi" w:hAnsiTheme="minorHAnsi" w:cstheme="minorHAnsi"/>
          <w:sz w:val="28"/>
          <w:szCs w:val="28"/>
        </w:rPr>
        <w:instrText xml:space="preserve"> " –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begin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 MERGEFIELD EndTime \@ "MMMM d, yyyy h:mm AM/PM"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F93828">
        <w:rPr>
          <w:rFonts w:asciiTheme="minorHAnsi" w:hAnsiTheme="minorHAnsi" w:cstheme="minorHAnsi"/>
          <w:noProof/>
          <w:sz w:val="28"/>
          <w:szCs w:val="28"/>
        </w:rPr>
        <w:instrText>«EndTime»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 w:rsidR="0022424C">
        <w:rPr>
          <w:rFonts w:asciiTheme="minorHAnsi" w:hAnsiTheme="minorHAnsi" w:cstheme="minorHAnsi"/>
          <w:sz w:val="28"/>
          <w:szCs w:val="28"/>
        </w:rPr>
        <w:instrText xml:space="preserve">" "" </w:instrText>
      </w:r>
      <w:r w:rsidR="0022424C">
        <w:rPr>
          <w:rFonts w:asciiTheme="minorHAnsi" w:hAnsiTheme="minorHAnsi" w:cstheme="minorHAnsi"/>
          <w:sz w:val="28"/>
          <w:szCs w:val="28"/>
        </w:rPr>
        <w:fldChar w:fldCharType="separate"/>
      </w:r>
      <w:r w:rsidR="0022424C">
        <w:rPr>
          <w:rFonts w:asciiTheme="minorHAnsi" w:hAnsiTheme="minorHAnsi" w:cstheme="minorHAnsi"/>
          <w:sz w:val="28"/>
          <w:szCs w:val="28"/>
        </w:rPr>
        <w:fldChar w:fldCharType="end"/>
      </w:r>
      <w:r>
        <w:rPr>
          <w:rFonts w:asciiTheme="minorHAnsi" w:hAnsiTheme="minorHAnsi" w:cstheme="minorHAnsi"/>
          <w:sz w:val="28"/>
          <w:szCs w:val="28"/>
        </w:rPr>
        <w:fldChar w:fldCharType="begin"/>
      </w:r>
      <w:r>
        <w:rPr>
          <w:rFonts w:asciiTheme="minorHAnsi" w:hAnsiTheme="minorHAnsi" w:cstheme="minorHAnsi"/>
          <w:sz w:val="28"/>
          <w:szCs w:val="28"/>
        </w:rPr>
        <w:instrText xml:space="preserve"> IF 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>"</w:instrText>
      </w:r>
      <w:r>
        <w:rPr>
          <w:rFonts w:asciiTheme="minorHAnsi" w:hAnsiTheme="minorHAnsi" w:cstheme="minorHAnsi"/>
          <w:sz w:val="28"/>
          <w:szCs w:val="28"/>
        </w:rPr>
        <w:instrText xml:space="preserve"> &lt;&gt; "" "</w:instrText>
      </w:r>
    </w:p>
    <w:p w:rsidR="00F93828" w:rsidP="0022424C">
      <w:pPr>
        <w:contextualSpacing/>
        <w:jc w:val="center"/>
        <w:outlineLvl w:val="0"/>
        <w:rPr>
          <w:rFonts w:asciiTheme="minorHAnsi" w:hAnsiTheme="minorHAnsi" w:cstheme="minorHAnsi"/>
          <w:noProof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instrText>Volney Richmond Auditorium</w:instrText>
      </w:r>
      <w:r>
        <w:rPr>
          <w:rFonts w:asciiTheme="minorHAnsi" w:hAnsiTheme="minorHAnsi" w:cstheme="minorHAnsi"/>
          <w:sz w:val="28"/>
          <w:szCs w:val="28"/>
        </w:rPr>
        <w:instrText xml:space="preserve">" "" </w:instrText>
      </w:r>
      <w:r>
        <w:rPr>
          <w:rFonts w:asciiTheme="minorHAnsi" w:hAnsiTheme="minorHAnsi" w:cstheme="minorHAnsi"/>
          <w:sz w:val="28"/>
          <w:szCs w:val="28"/>
        </w:rPr>
        <w:fldChar w:fldCharType="separate"/>
      </w:r>
    </w:p>
    <w:p w:rsidR="006B68A0" w:rsidP="0022424C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Volney Richmond Auditorium</w:t>
      </w:r>
      <w:r>
        <w:rPr>
          <w:rFonts w:asciiTheme="minorHAnsi" w:hAnsiTheme="minorHAnsi" w:cstheme="minorHAnsi"/>
          <w:sz w:val="28"/>
          <w:szCs w:val="28"/>
        </w:rPr>
        <w:fldChar w:fldCharType="end"/>
      </w:r>
    </w:p>
    <w:p w:rsidR="006B68A0" w:rsidRPr="0022424C" w:rsidP="009F0C4E">
      <w:pPr>
        <w:contextualSpacing/>
        <w:jc w:val="center"/>
        <w:outlineLvl w:val="0"/>
        <w:rPr>
          <w:rFonts w:asciiTheme="minorHAnsi" w:hAnsiTheme="minorHAnsi" w:cstheme="minorHAnsi"/>
          <w:sz w:val="28"/>
          <w:szCs w:val="28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Specialties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Specialties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«Specialties»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instrText xml:space="preserve">Target </w:instrText>
      </w:r>
      <w:r w:rsidRPr="0022424C">
        <w:rPr>
          <w:rFonts w:asciiTheme="minorHAnsi" w:hAnsiTheme="minorHAnsi" w:cstheme="minorHAnsi"/>
          <w:b/>
          <w:bCs/>
          <w:szCs w:val="24"/>
        </w:rPr>
        <w:instrText>Professions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814794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MERGEFIELD TargetProfessions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>
        <w:rPr>
          <w:rFonts w:asciiTheme="minorHAnsi" w:hAnsiTheme="minorHAnsi" w:cstheme="minorHAnsi"/>
          <w:noProof/>
          <w:sz w:val="20"/>
        </w:rPr>
        <w:instrText>«TargetProfessions»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 w:rsidR="00BF5409">
        <w:rPr>
          <w:rFonts w:asciiTheme="minorHAnsi" w:hAnsiTheme="minorHAnsi" w:cstheme="minorHAnsi"/>
          <w:sz w:val="20"/>
        </w:rPr>
        <w:fldChar w:fldCharType="end"/>
      </w:r>
      <w:r w:rsidRPr="0022424C" w:rsidR="00814794">
        <w:rPr>
          <w:rFonts w:asciiTheme="minorHAnsi" w:hAnsiTheme="minorHAnsi" w:cstheme="minorHAnsi"/>
          <w:sz w:val="20"/>
        </w:rPr>
        <w:fldChar w:fldCharType="begin"/>
      </w:r>
      <w:r w:rsidRPr="0022424C" w:rsidR="00814794">
        <w:rPr>
          <w:rFonts w:asciiTheme="minorHAnsi" w:hAnsiTheme="minorHAnsi" w:cstheme="minorHAnsi"/>
          <w:sz w:val="20"/>
        </w:rPr>
        <w:instrText xml:space="preserve"> IF </w:instrText>
      </w:r>
      <w:r w:rsidRPr="0022424C" w:rsidR="00C055FA">
        <w:rPr>
          <w:rFonts w:asciiTheme="minorHAnsi" w:hAnsiTheme="minorHAnsi" w:cstheme="minorHAnsi"/>
          <w:sz w:val="20"/>
        </w:rPr>
        <w:instrText>"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 w:rsidR="00C055FA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Description</w:instrTex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instrTex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Our midday session will focus on important contemporary debates in colorectal cancer, and an application in a multidisciplinary tumor board context. Lastly, we will focus on managing treatment-related comorbidities and the nuances of continued surveillance.</w:instrTex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instrText>The overall objective of the course is to demonstrate the benefits of contemporary, personalized care — nuanced decision making, latest trials, and individualized care as offered at a Center of Excellence.</w:instrTex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instrText>Teaching methods include lecture, Q&amp;A with faculty, case presentation and case discussion.</w:instrText>
      </w:r>
    </w:p>
    <w:p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814794" w:rsidRPr="0022424C" w:rsidP="00814794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814794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Description</w:t>
      </w:r>
    </w:p>
    <w:p w:rsidR="008276B2" w:rsidRPr="0022424C" w:rsidP="00814794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>
      <w:pPr>
        <w:bidi w:val="0"/>
        <w:spacing w:after="280" w:afterAutospacing="1"/>
        <w:rPr>
          <w:rFonts w:asciiTheme="minorHAnsi" w:hAnsiTheme="minorHAnsi" w:cstheme="minorHAnsi"/>
          <w:noProof/>
          <w:sz w:val="20"/>
        </w:rPr>
      </w:pPr>
      <w:r>
        <w:rPr>
          <w:rtl w:val="0"/>
        </w:rPr>
        <w:t>Virginia Mason Franciscan Health is a recognized leader across the spectrum of colorectal cancer care. This symposium aims to present important considerations in individualizing care across the cancer care continuum, with a focus on the increasing incidence of young-onset colorectal cancer. Topics include unique risk factors in the role of the microbiome and genetics in colorectal cancer development, fertility considerations and the latest in screening options.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Our midday session will focus on important contemporary debates in colorectal cancer, and an application in a multidisciplinary tumor board context. Lastly, we will focus on managing treatment-related comorbidities and the nuances of continued surveillance.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The overall objective of the course is to demonstrate the benefits of contemporary, personalized care — nuanced decision making, latest trials, and individualized care as offered at a Center of Excellence.</w:t>
      </w:r>
      <w:r>
        <w:rPr>
          <w:rtl w:val="0"/>
        </w:rPr>
        <w:br/>
      </w:r>
      <w:r>
        <w:rPr>
          <w:rtl w:val="0"/>
        </w:rPr>
        <w:br/>
      </w:r>
      <w:r>
        <w:rPr>
          <w:rtl w:val="0"/>
        </w:rPr>
        <w:t>Teaching methods include lecture, Q&amp;A with faculty, case presentation and case discussion.</w:t>
      </w:r>
    </w:p>
    <w:p w:rsidR="00814794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 w:rsidR="00BF5409">
        <w:rPr>
          <w:rFonts w:asciiTheme="minorHAnsi" w:hAnsiTheme="minorHAnsi" w:cstheme="minorHAnsi"/>
          <w:sz w:val="20"/>
        </w:rPr>
        <w:fldChar w:fldCharType="begin"/>
      </w:r>
      <w:r w:rsidRPr="0022424C" w:rsidR="00BF5409">
        <w:rPr>
          <w:rFonts w:asciiTheme="minorHAnsi" w:hAnsiTheme="minorHAnsi" w:cstheme="minorHAnsi"/>
          <w:sz w:val="20"/>
        </w:rPr>
        <w:instrText xml:space="preserve"> IF </w:instrText>
      </w:r>
      <w:r w:rsidRPr="0022424C" w:rsidR="00BF5409">
        <w:rPr>
          <w:rFonts w:asciiTheme="minorHAnsi" w:hAnsiTheme="minorHAnsi" w:cstheme="minorHAnsi"/>
          <w:sz w:val="20"/>
        </w:rPr>
        <w:instrText>"</w:instrText>
      </w:r>
      <w:r w:rsidRPr="0022424C" w:rsidR="00BF5409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="00BF5409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instrText>Learning Objectives</w:instrTex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instrText>1 Discuss epidemiologic trends related to young age of onset colorectal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2 Describe how specific intratumoral bacteria are associated with immune changes in the tumor microenvironment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3 Explore the emerging hereditary and environmental explanations in early onset colon cancers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4 Outline fertility preservation options available for colorectal cancer patients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5 Review consensus guidelines for anal cancer screening: who, how, when and why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6 Summarize guidelines suggesting TME-first approach in stage 1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7 Explain the treatment and follow-up protocols for organ preservation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8 Discuss latest data on neoadjuvant chemotherapy for colon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9 Identify scenarios in which up front surgery avoids over treatment with chemotherapy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10 Develop a framework for patient centered decision making in RT management decisions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11 Describe scenarios in which radiation can be avoided in locally advanced rectal cancer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12 Formulate anticoagulation plans based on current evidence, balancing risks, benefits, and patient preferences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13 Review endoscopic surveillance for colon cancer screening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14 Explain how MRI is the optimal modality for evaluation of extramural venous invasion (EMVI)</w:instrTex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instrText>15 Assess the risk, diagnosis, and management of hepatotoxicity of chemotherapy and immunotherapy for CRC</w:instrText>
      </w:r>
      <w:r w:rsidRPr="0022424C">
        <w:rPr>
          <w:rFonts w:asciiTheme="minorHAnsi" w:hAnsiTheme="minorHAnsi" w:cstheme="minorHAnsi"/>
          <w:sz w:val="20"/>
        </w:rPr>
        <w:instrText xml:space="preserve">" ""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Learning Objectives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F93828" w:rsidRPr="0022424C" w:rsidP="00C57BED">
      <w:pPr>
        <w:contextualSpacing/>
        <w:outlineLvl w:val="0"/>
        <w:rPr>
          <w:rFonts w:asciiTheme="minorHAnsi" w:hAnsiTheme="minorHAnsi" w:cstheme="minorHAnsi"/>
          <w:noProof/>
          <w:sz w:val="20"/>
        </w:rPr>
      </w:pPr>
      <w:r w:rsidRPr="0022424C">
        <w:rPr>
          <w:rFonts w:asciiTheme="minorHAnsi" w:hAnsiTheme="minorHAnsi" w:cstheme="minorHAnsi"/>
          <w:sz w:val="20"/>
        </w:rPr>
        <w:t>1 Discuss epidemiologic trends related to young age of onset colorectal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2 Describe how specific intratumoral bacteria are associated with immune changes in the tumor microenvironment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3 Explore the emerging hereditary and environmental explanations in early onset colon cancers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4 Outline fertility preservation options available for colorectal cancer patients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5 Review consensus guidelines for anal cancer screening: who, how, when and why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6 Summarize guidelines suggesting TME-first approach in stage 1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7 Explain the treatment and follow-up protocols for organ preservation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8 Discuss latest data on neoadjuvant chemotherapy for colon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9 Identify scenarios in which up front surgery avoids over treatment with chemotherapy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10 Develop a framework for patient centered decision making in RT management decisions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11 Describe scenarios in which radiation can be avoided in locally advanced rectal cancer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12 Formulate anticoagulation plans based on current evidence, balancing risks, benefits, and patient preferences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13 Review endoscopic surveillance for colon cancer screening</w:t>
      </w:r>
    </w:p>
    <w:p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14 Explain how MRI is the optimal modality for evaluation of extramural venous invasion (EMVI)</w:t>
      </w:r>
    </w:p>
    <w:p w:rsidR="00BF5409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t>15 Assess the risk, diagnosis, and management of hepatotoxicity of chemotherapy and immunotherapy for CRC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p w:rsidR="003778CA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Accreditation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Virginia Mason </w:t>
      </w:r>
      <w:r w:rsidRPr="0022424C">
        <w:rPr>
          <w:rFonts w:asciiTheme="minorHAnsi" w:hAnsiTheme="minorHAnsi" w:cstheme="minorHAnsi"/>
          <w:sz w:val="20"/>
        </w:rPr>
        <w:t>is accredited by the Accreditation Council for Continuing Medical Education (ACCME) to provide continuing medical education for physicians.</w:t>
      </w:r>
      <w:r w:rsidRPr="0022424C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8952" cy="722376"/>
            <wp:effectExtent l="0" t="0" r="3175" b="1905"/>
            <wp:wrapSquare wrapText="bothSides"/>
            <wp:docPr id="1901841611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20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Credit Designation</w:t>
      </w: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 w:val="6"/>
          <w:szCs w:val="6"/>
        </w:rPr>
      </w:pPr>
    </w:p>
    <w:p w:rsidR="008276B2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Virginia Mason</w:t>
      </w:r>
      <w:r w:rsidRPr="0022424C" w:rsidR="009F0C4E">
        <w:rPr>
          <w:rFonts w:asciiTheme="minorHAnsi" w:hAnsiTheme="minorHAnsi" w:cstheme="minorHAnsi"/>
          <w:sz w:val="20"/>
        </w:rPr>
        <w:t xml:space="preserve"> designates this activity for a maximum of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sz w:val="20"/>
        </w:rPr>
        <w:t>5.25</w:t>
      </w:r>
      <w:r w:rsidRPr="0022424C">
        <w:rPr>
          <w:rFonts w:asciiTheme="minorHAnsi" w:hAnsiTheme="minorHAnsi" w:cstheme="minorHAnsi"/>
          <w:sz w:val="20"/>
        </w:rPr>
        <w:t xml:space="preserve"> </w:t>
      </w:r>
      <w:r w:rsidRPr="0022424C">
        <w:rPr>
          <w:rFonts w:asciiTheme="minorHAnsi" w:hAnsiTheme="minorHAnsi" w:cstheme="minorHAnsi"/>
          <w:i/>
          <w:iCs/>
          <w:sz w:val="20"/>
        </w:rPr>
        <w:t>AMA PRA Category 1 Credit(s)</w:t>
      </w:r>
      <w:r w:rsidRPr="0022424C">
        <w:rPr>
          <w:rFonts w:asciiTheme="minorHAnsi" w:hAnsiTheme="minorHAnsi" w:cstheme="minorHAnsi"/>
          <w:sz w:val="20"/>
        </w:rPr>
        <w:t>™</w:t>
      </w:r>
      <w:r w:rsidRPr="0022424C" w:rsidR="009F0C4E">
        <w:rPr>
          <w:rFonts w:asciiTheme="minorHAnsi" w:hAnsiTheme="minorHAnsi" w:cstheme="minorHAnsi"/>
          <w:sz w:val="20"/>
        </w:rPr>
        <w:t>.</w:t>
      </w:r>
    </w:p>
    <w:p w:rsidR="00415EF3" w:rsidRPr="0022424C" w:rsidP="00C57BED">
      <w:pPr>
        <w:contextualSpacing/>
        <w:rPr>
          <w:rFonts w:asciiTheme="minorHAnsi" w:hAnsiTheme="minorHAnsi" w:cstheme="minorHAnsi"/>
          <w:sz w:val="20"/>
        </w:rPr>
      </w:pPr>
    </w:p>
    <w:p w:rsidR="00914187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  <w:sectPr w:rsidSect="004135B5">
          <w:pgSz w:w="12240" w:h="15840"/>
          <w:pgMar w:top="1080" w:right="1080" w:bottom="1080" w:left="1080" w:header="720" w:footer="720" w:gutter="0"/>
          <w:cols w:space="720"/>
          <w:docGrid w:linePitch="326"/>
        </w:sect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b/>
          <w:bCs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Faculty &amp; Planners</w:t>
      </w:r>
    </w:p>
    <w:p w:rsidR="004135B5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7"/>
        <w:gridCol w:w="2997"/>
        <w:gridCol w:w="3996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David M. Aboulafia,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Sarah A. Ackermann, CCRC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Planning Committee Member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- 12/19/2024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Bruce S. Lin,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Grant or research support-Merck and Company, Inc.|Grant or research support-Tvardi|Grant or research support-Genentech, Inc.|Grant or research support-Exelixis|Grant or research support-Cardiff Oncology|Grant or research support-Zymeworks|Grant or research support-GlaxoSmithKline|Grant or research support-Relay Therapeutics|Grant or research support-Incyte - 12/20/2024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Blaire E. Burman,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Vlad Simianu, MD, MPH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Consulting Fee-C-SATS (Relationship has ended)|Membership on Advisory Committees or Review Panels, Board Membership, etc.-BD|Other: Travel and Education Support-Intuitive Surgical (Relationship has ended) - 05/18/2024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Jenny Kaplan,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- 01/24/2025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Amber B. Post,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Course Co-Director, 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- 03/20/2025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Gautam Mankaney,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- 09/19/2024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Sirisha Jain,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Emily Stevens, MD,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Ravi Moonka, MD, ASCRS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Amanda Loh,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Allyson Byrd, PhD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Employment-Genentech, Inc. (Relationship has ended)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Mohammad Hissourou III,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- 03/17/2025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Marianne E. Dubard-Gault, MD, MS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- 03/14/2025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Yi-Qian Nancy You, MD, MHSc,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- 02/13/2025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Shelun Tsai, MD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- 02/21/2025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Rajeev Misra, DO, MS, FACS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Honoraria-Intuitive Surgical - 03/11/2025</w:t>
            </w:r>
          </w:p>
        </w:tc>
      </w:tr>
    </w:tbl>
    <w:p w:rsidR="00415EF3" w:rsidRPr="0022424C">
      <w:pPr>
        <w:bidi w:val="0"/>
        <w:spacing w:after="280" w:afterAutospacing="1"/>
        <w:rPr>
          <w:rFonts w:asciiTheme="minorHAnsi" w:hAnsiTheme="minorHAnsi" w:cstheme="minorHAnsi"/>
          <w:sz w:val="20"/>
        </w:rPr>
      </w:pPr>
    </w:p>
    <w:p w:rsidR="00A97C97" w:rsidRPr="0022424C" w:rsidP="00C57BED">
      <w:pPr>
        <w:contextualSpacing/>
        <w:outlineLvl w:val="0"/>
        <w:rPr>
          <w:rFonts w:asciiTheme="minorHAnsi" w:hAnsiTheme="minorHAnsi" w:cstheme="minorHAnsi"/>
          <w:sz w:val="20"/>
        </w:rPr>
      </w:pP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Cs w:val="24"/>
        </w:rPr>
      </w:pPr>
      <w:r w:rsidRPr="0022424C">
        <w:rPr>
          <w:rFonts w:asciiTheme="minorHAnsi" w:hAnsiTheme="minorHAnsi" w:cstheme="minorHAnsi"/>
          <w:b/>
          <w:bCs/>
          <w:szCs w:val="24"/>
        </w:rPr>
        <w:t>Commercial Support</w:t>
      </w:r>
    </w:p>
    <w:p w:rsidR="00415EF3" w:rsidRPr="0022424C" w:rsidP="00C57BED">
      <w:pPr>
        <w:contextualSpacing/>
        <w:outlineLvl w:val="0"/>
        <w:rPr>
          <w:rFonts w:asciiTheme="minorHAnsi" w:hAnsiTheme="minorHAnsi" w:cstheme="minorHAnsi"/>
          <w:sz w:val="6"/>
          <w:szCs w:val="6"/>
        </w:rPr>
      </w:pPr>
    </w:p>
    <w:p w:rsidR="003E48A1" w:rsidRPr="0022424C" w:rsidP="00C57BED">
      <w:pPr>
        <w:contextualSpacing/>
        <w:rPr>
          <w:rFonts w:asciiTheme="minorHAnsi" w:hAnsiTheme="minorHAnsi" w:cstheme="minorHAnsi"/>
          <w:sz w:val="20"/>
        </w:rPr>
      </w:pP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IF 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>"</w:instrText>
      </w:r>
      <w:r w:rsidRPr="0022424C">
        <w:rPr>
          <w:rFonts w:asciiTheme="minorHAnsi" w:hAnsiTheme="minorHAnsi" w:cstheme="minorHAnsi"/>
          <w:sz w:val="20"/>
        </w:rPr>
        <w:instrText xml:space="preserve"> &lt;&gt; "" "</w:instrText>
      </w:r>
      <w:r w:rsidRPr="0022424C">
        <w:rPr>
          <w:rFonts w:asciiTheme="minorHAnsi" w:hAnsiTheme="minorHAnsi" w:cstheme="minorHAnsi"/>
          <w:sz w:val="20"/>
        </w:rPr>
        <w:fldChar w:fldCharType="begin"/>
      </w:r>
      <w:r w:rsidRPr="0022424C">
        <w:rPr>
          <w:rFonts w:asciiTheme="minorHAnsi" w:hAnsiTheme="minorHAnsi" w:cstheme="minorHAnsi"/>
          <w:sz w:val="20"/>
        </w:rPr>
        <w:instrText xml:space="preserve"> </w:instrText>
      </w:r>
      <w:r w:rsidRPr="0022424C" w:rsidR="00E00797">
        <w:rPr>
          <w:rFonts w:asciiTheme="minorHAnsi" w:hAnsiTheme="minorHAnsi" w:cstheme="minorHAnsi"/>
          <w:sz w:val="20"/>
        </w:rPr>
        <w:instrText xml:space="preserve">MERGEFIELD </w:instrText>
      </w:r>
      <w:r w:rsidRPr="0022424C">
        <w:rPr>
          <w:rFonts w:asciiTheme="minorHAnsi" w:hAnsiTheme="minorHAnsi" w:cstheme="minorHAnsi"/>
          <w:sz w:val="20"/>
        </w:rPr>
        <w:instrText xml:space="preserve">CommercialSupport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="00F93828">
        <w:rPr>
          <w:rFonts w:asciiTheme="minorHAnsi" w:hAnsiTheme="minorHAnsi" w:cstheme="minorHAnsi"/>
          <w:noProof/>
          <w:sz w:val="20"/>
        </w:rPr>
        <w:instrText>«CommercialSupport»</w:instrText>
      </w:r>
      <w:r w:rsidRPr="0022424C">
        <w:rPr>
          <w:rFonts w:asciiTheme="minorHAnsi" w:hAnsiTheme="minorHAnsi" w:cstheme="minorHAnsi"/>
          <w:sz w:val="20"/>
        </w:rPr>
        <w:fldChar w:fldCharType="end"/>
      </w:r>
      <w:r w:rsidRPr="0022424C">
        <w:rPr>
          <w:rFonts w:asciiTheme="minorHAnsi" w:hAnsiTheme="minorHAnsi" w:cstheme="minorHAnsi"/>
          <w:sz w:val="20"/>
        </w:rPr>
        <w:instrText xml:space="preserve">" "This activity has been developed without commercial support." </w:instrText>
      </w:r>
      <w:r w:rsidRPr="0022424C">
        <w:rPr>
          <w:rFonts w:asciiTheme="minorHAnsi" w:hAnsiTheme="minorHAnsi" w:cstheme="minorHAnsi"/>
          <w:sz w:val="20"/>
        </w:rPr>
        <w:fldChar w:fldCharType="separate"/>
      </w:r>
      <w:r w:rsidRPr="0022424C">
        <w:rPr>
          <w:rFonts w:asciiTheme="minorHAnsi" w:hAnsiTheme="minorHAnsi" w:cstheme="minorHAnsi"/>
          <w:sz w:val="20"/>
        </w:rPr>
        <w:t>This activity has been developed without commercial support.</w:t>
      </w:r>
      <w:r w:rsidRPr="0022424C">
        <w:rPr>
          <w:rFonts w:asciiTheme="minorHAnsi" w:hAnsiTheme="minorHAnsi" w:cstheme="minorHAnsi"/>
          <w:sz w:val="20"/>
        </w:rPr>
        <w:fldChar w:fldCharType="end"/>
      </w:r>
    </w:p>
    <w:sectPr w:rsidSect="004135B5"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Technical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36CEEDF2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2A437F"/>
    <w:multiLevelType w:val="singleLevel"/>
    <w:tmpl w:val="36EEACDE"/>
    <w:lvl w:ilvl="0">
      <w:start w:val="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482B523C"/>
    <w:multiLevelType w:val="singleLevel"/>
    <w:tmpl w:val="282C6E40"/>
    <w:lvl w:ilvl="0">
      <w:start w:val="0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3">
    <w:nsid w:val="4E5E3823"/>
    <w:multiLevelType w:val="hybridMultilevel"/>
    <w:tmpl w:val="9622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73EFC"/>
    <w:multiLevelType w:val="singleLevel"/>
    <w:tmpl w:val="FC224372"/>
    <w:lvl w:ilvl="0">
      <w:start w:val="0"/>
      <w:numFmt w:val="bullet"/>
      <w:lvlText w:val="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5">
    <w:nsid w:val="6B2401E3"/>
    <w:multiLevelType w:val="multilevel"/>
    <w:tmpl w:val="0B1E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8856AB"/>
    <w:multiLevelType w:val="hybridMultilevel"/>
    <w:tmpl w:val="3FCCB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rFonts w:ascii="Technical" w:hAnsi="Technic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Pr>
      <w:rFonts w:ascii="Times New Roman" w:hAnsi="Times New Roman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Times New Roman" w:hAnsi="Times New Roman"/>
      <w:snapToGrid w:val="0"/>
    </w:rPr>
  </w:style>
  <w:style w:type="paragraph" w:styleId="BodyTextIndent">
    <w:name w:val="Body Text Indent"/>
    <w:basedOn w:val="Normal"/>
    <w:pPr>
      <w:ind w:left="720"/>
    </w:pPr>
    <w:rPr>
      <w:rFonts w:ascii="Tahoma" w:hAnsi="Tahoma"/>
    </w:rPr>
  </w:style>
  <w:style w:type="paragraph" w:styleId="BodyTextIndent2">
    <w:name w:val="Body Text Indent 2"/>
    <w:basedOn w:val="Normal"/>
    <w:pPr>
      <w:ind w:left="2160" w:hanging="216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rsid w:val="001E6C4E"/>
    <w:pPr>
      <w:spacing w:after="120" w:line="480" w:lineRule="auto"/>
    </w:pPr>
  </w:style>
  <w:style w:type="paragraph" w:styleId="Footer">
    <w:name w:val="footer"/>
    <w:basedOn w:val="Normal"/>
    <w:link w:val="FooterChar"/>
    <w:rsid w:val="008609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609CF"/>
    <w:rPr>
      <w:rFonts w:ascii="Technical" w:hAnsi="Technical"/>
      <w:sz w:val="24"/>
    </w:rPr>
  </w:style>
  <w:style w:type="paragraph" w:styleId="BalloonText">
    <w:name w:val="Balloon Text"/>
    <w:basedOn w:val="Normal"/>
    <w:link w:val="BalloonTextChar"/>
    <w:rsid w:val="009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4BC2"/>
    <w:rPr>
      <w:rFonts w:ascii="Tahoma" w:hAnsi="Tahoma" w:cs="Tahoma"/>
      <w:sz w:val="16"/>
      <w:szCs w:val="16"/>
    </w:rPr>
  </w:style>
  <w:style w:type="paragraph" w:customStyle="1" w:styleId="SendersAddress">
    <w:name w:val="Sender's Address"/>
    <w:basedOn w:val="Normal"/>
    <w:uiPriority w:val="2"/>
    <w:qFormat/>
    <w:rsid w:val="00F978E5"/>
    <w:pPr>
      <w:spacing w:after="200" w:line="276" w:lineRule="auto"/>
    </w:pPr>
    <w:rPr>
      <w:rFonts w:ascii="Century Schoolbook" w:eastAsia="Century Schoolbook" w:hAnsi="Century Schoolbook" w:cs="Century Schoolbook"/>
      <w:color w:val="FFFFFF"/>
      <w:spacing w:val="20"/>
      <w:sz w:val="20"/>
      <w:lang w:eastAsia="ja-JP" w:bidi="he-IL"/>
    </w:rPr>
  </w:style>
  <w:style w:type="character" w:styleId="CommentReference">
    <w:name w:val="annotation reference"/>
    <w:rsid w:val="004E38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E38D5"/>
    <w:rPr>
      <w:rFonts w:ascii="Technical" w:hAnsi="Technical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E38D5"/>
  </w:style>
  <w:style w:type="character" w:customStyle="1" w:styleId="CommentSubjectChar">
    <w:name w:val="Comment Subject Char"/>
    <w:link w:val="CommentSubject"/>
    <w:rsid w:val="004E38D5"/>
    <w:rPr>
      <w:rFonts w:ascii="Technical" w:hAnsi="Technical"/>
      <w:b/>
      <w:bCs/>
    </w:rPr>
  </w:style>
  <w:style w:type="character" w:customStyle="1" w:styleId="video-title1">
    <w:name w:val="video-title1"/>
    <w:rsid w:val="00E55D41"/>
    <w:rPr>
      <w:b/>
      <w:bCs/>
      <w:vanish w:val="0"/>
      <w:webHidden w:val="0"/>
      <w:color w:val="FF8901"/>
      <w:sz w:val="26"/>
      <w:szCs w:val="26"/>
      <w:specVanish w:val="0"/>
    </w:rPr>
  </w:style>
  <w:style w:type="character" w:styleId="Emphasis">
    <w:name w:val="Emphasis"/>
    <w:uiPriority w:val="20"/>
    <w:qFormat/>
    <w:rsid w:val="00E55D41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46086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460CE6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65C98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65C98"/>
    <w:rPr>
      <w:rFonts w:ascii="Calibri" w:eastAsia="Calibri" w:hAnsi="Calibri" w:cs="Consolas"/>
      <w:sz w:val="22"/>
      <w:szCs w:val="21"/>
    </w:rPr>
  </w:style>
  <w:style w:type="paragraph" w:customStyle="1" w:styleId="xmsonormal">
    <w:name w:val="x_msonormal"/>
    <w:basedOn w:val="Normal"/>
    <w:rsid w:val="00D03535"/>
    <w:rPr>
      <w:rFonts w:ascii="Calibri" w:eastAsia="Calibr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96F9E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customStyle="1" w:styleId="xxmsonormal">
    <w:name w:val="x_xmsonormal"/>
    <w:basedOn w:val="Normal"/>
    <w:rsid w:val="00A96F9E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</vt:lpstr>
    </vt:vector>
  </TitlesOfParts>
  <Company>AMC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</dc:title>
  <dc:creator>Cindy Spiezio</dc:creator>
  <cp:lastModifiedBy>Tyler Browne</cp:lastModifiedBy>
  <cp:revision>2</cp:revision>
  <cp:lastPrinted>2020-06-19T17:43:00Z</cp:lastPrinted>
  <dcterms:created xsi:type="dcterms:W3CDTF">2022-02-04T21:18:00Z</dcterms:created>
  <dcterms:modified xsi:type="dcterms:W3CDTF">2022-02-04T21:18:00Z</dcterms:modified>
</cp:coreProperties>
</file>